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A7BC8C" w14:textId="77777777" w:rsidR="004459E3" w:rsidRDefault="00E96F92" w:rsidP="00CB4F31">
      <w:pPr>
        <w:pStyle w:val="Articletitle"/>
      </w:pPr>
      <w:r>
        <w:rPr>
          <w:rFonts w:eastAsia="宋体"/>
        </w:rPr>
        <w:t>Supplementary materials</w:t>
      </w:r>
      <w:r>
        <w:br/>
      </w:r>
    </w:p>
    <w:p w14:paraId="6B073722" w14:textId="77777777" w:rsidR="004459E3" w:rsidRDefault="00E96F92" w:rsidP="0033390E">
      <w:pPr>
        <w:pStyle w:val="Figure"/>
      </w:pPr>
      <w:r>
        <w:rPr>
          <w:rFonts w:hint="eastAsia"/>
          <w:noProof/>
        </w:rPr>
        <w:drawing>
          <wp:inline distT="0" distB="0" distL="114300" distR="114300" wp14:anchorId="67B68072" wp14:editId="5F6A8AC0">
            <wp:extent cx="5269865" cy="4780280"/>
            <wp:effectExtent l="0" t="0" r="6985" b="1270"/>
            <wp:docPr id="1" name="图片 1" descr="M0-250624-补充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0-250624-补充图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B0F10" w14:textId="08178A7D" w:rsidR="004459E3" w:rsidRPr="00CF3412" w:rsidRDefault="00CF3412" w:rsidP="00CF3412">
      <w:pPr>
        <w:pStyle w:val="Figurecaption"/>
        <w:rPr>
          <w:rFonts w:ascii="宋体" w:eastAsia="宋体" w:hAnsi="宋体" w:cs="宋体"/>
          <w:color w:val="auto"/>
          <w:sz w:val="24"/>
          <w:szCs w:val="24"/>
        </w:rPr>
      </w:pPr>
      <w:r w:rsidRPr="00DA40AC">
        <w:rPr>
          <w:rFonts w:eastAsia="sans-serif"/>
          <w:b/>
          <w:bCs/>
          <w:shd w:val="clear" w:color="auto" w:fill="FFFFFF"/>
        </w:rPr>
        <w:t xml:space="preserve">Supplementary </w:t>
      </w:r>
      <w:r w:rsidR="00E96F92">
        <w:rPr>
          <w:rFonts w:eastAsia="sans-serif"/>
          <w:b/>
          <w:bCs/>
          <w:shd w:val="clear" w:color="auto" w:fill="FFFFFF"/>
        </w:rPr>
        <w:t>Fig</w:t>
      </w:r>
      <w:r>
        <w:rPr>
          <w:rFonts w:eastAsia="sans-serif"/>
          <w:b/>
          <w:bCs/>
          <w:shd w:val="clear" w:color="auto" w:fill="FFFFFF"/>
        </w:rPr>
        <w:t>.</w:t>
      </w:r>
      <w:r w:rsidR="001D000F">
        <w:rPr>
          <w:rFonts w:eastAsia="sans-serif"/>
          <w:b/>
          <w:bCs/>
          <w:shd w:val="clear" w:color="auto" w:fill="FFFFFF"/>
        </w:rPr>
        <w:t xml:space="preserve"> </w:t>
      </w:r>
      <w:r w:rsidR="00E96F92">
        <w:rPr>
          <w:rFonts w:eastAsia="sans-serif"/>
          <w:b/>
          <w:bCs/>
          <w:shd w:val="clear" w:color="auto" w:fill="FFFFFF"/>
        </w:rPr>
        <w:t>1. Single-cell clusters.</w:t>
      </w:r>
      <w:r w:rsidR="001D000F">
        <w:rPr>
          <w:rFonts w:eastAsia="Segoe UI"/>
          <w:shd w:val="clear" w:color="auto" w:fill="FFFFFF"/>
        </w:rPr>
        <w:t xml:space="preserve"> </w:t>
      </w:r>
      <w:r w:rsidR="00E96F92">
        <w:rPr>
          <w:rFonts w:eastAsia="sans-serif"/>
          <w:shd w:val="clear" w:color="auto" w:fill="FFFFFF"/>
        </w:rPr>
        <w:t xml:space="preserve">(A) </w:t>
      </w:r>
      <w:r w:rsidR="00E96F92">
        <w:rPr>
          <w:rFonts w:eastAsia="宋体" w:hint="eastAsia"/>
          <w:shd w:val="clear" w:color="auto" w:fill="FFFFFF"/>
        </w:rPr>
        <w:t>UMAP</w:t>
      </w:r>
      <w:r w:rsidR="00E96F92">
        <w:rPr>
          <w:rFonts w:eastAsia="sans-serif"/>
          <w:shd w:val="clear" w:color="auto" w:fill="FFFFFF"/>
        </w:rPr>
        <w:t xml:space="preserve"> plot of all cells color-coded into 2</w:t>
      </w:r>
      <w:r w:rsidR="00E96F92">
        <w:rPr>
          <w:rFonts w:eastAsia="宋体" w:hint="eastAsia"/>
          <w:shd w:val="clear" w:color="auto" w:fill="FFFFFF"/>
        </w:rPr>
        <w:t>2</w:t>
      </w:r>
      <w:r w:rsidR="00E96F92">
        <w:rPr>
          <w:rFonts w:eastAsia="sans-serif"/>
          <w:shd w:val="clear" w:color="auto" w:fill="FFFFFF"/>
        </w:rPr>
        <w:t xml:space="preserve"> clusters.</w:t>
      </w:r>
      <w:r w:rsidR="00E96F92">
        <w:rPr>
          <w:rFonts w:eastAsia="Segoe UI"/>
          <w:shd w:val="clear" w:color="auto" w:fill="FFFFFF"/>
        </w:rPr>
        <w:br/>
      </w:r>
      <w:r w:rsidR="00E96F92">
        <w:rPr>
          <w:rFonts w:eastAsia="sans-serif"/>
          <w:shd w:val="clear" w:color="auto" w:fill="FFFFFF"/>
        </w:rPr>
        <w:t xml:space="preserve">(B) </w:t>
      </w:r>
      <w:r w:rsidR="00E96F92">
        <w:rPr>
          <w:rFonts w:eastAsia="宋体" w:hint="eastAsia"/>
          <w:shd w:val="clear" w:color="auto" w:fill="FFFFFF"/>
        </w:rPr>
        <w:t xml:space="preserve">UMAP </w:t>
      </w:r>
      <w:r w:rsidR="00E96F92">
        <w:rPr>
          <w:rFonts w:eastAsia="sans-serif"/>
          <w:shd w:val="clear" w:color="auto" w:fill="FFFFFF"/>
        </w:rPr>
        <w:t xml:space="preserve">plot of all cells color-coded from </w:t>
      </w:r>
      <w:r w:rsidR="00E96F92">
        <w:rPr>
          <w:rFonts w:eastAsia="宋体" w:hint="eastAsia"/>
          <w:shd w:val="clear" w:color="auto" w:fill="FFFFFF"/>
        </w:rPr>
        <w:t>early</w:t>
      </w:r>
      <w:r w:rsidR="00E96F92">
        <w:rPr>
          <w:rFonts w:eastAsia="sans-serif"/>
          <w:shd w:val="clear" w:color="auto" w:fill="FFFFFF"/>
        </w:rPr>
        <w:t xml:space="preserve"> and </w:t>
      </w:r>
      <w:r w:rsidR="00E96F92">
        <w:rPr>
          <w:rFonts w:eastAsia="宋体" w:hint="eastAsia"/>
          <w:shd w:val="clear" w:color="auto" w:fill="FFFFFF"/>
        </w:rPr>
        <w:t>advanced</w:t>
      </w:r>
      <w:r w:rsidR="00E96F92">
        <w:rPr>
          <w:rFonts w:eastAsia="sans-serif"/>
          <w:shd w:val="clear" w:color="auto" w:fill="FFFFFF"/>
        </w:rPr>
        <w:t xml:space="preserve"> patients.</w:t>
      </w:r>
    </w:p>
    <w:p w14:paraId="04DD8819" w14:textId="77777777" w:rsidR="004459E3" w:rsidRDefault="004459E3">
      <w:pPr>
        <w:rPr>
          <w:rFonts w:ascii="Times New Roman" w:eastAsia="sans-serif" w:hAnsi="Times New Roman"/>
          <w:sz w:val="24"/>
          <w:shd w:val="clear" w:color="auto" w:fill="FFFFFF"/>
        </w:rPr>
      </w:pPr>
    </w:p>
    <w:p w14:paraId="41BACBCC" w14:textId="77777777" w:rsidR="004459E3" w:rsidRDefault="00E96F92" w:rsidP="0033390E">
      <w:pPr>
        <w:pStyle w:val="Figure"/>
        <w:rPr>
          <w:rFonts w:eastAsia="Segoe UI"/>
          <w:shd w:val="clear" w:color="auto" w:fill="FFFFFF"/>
        </w:rPr>
      </w:pPr>
      <w:r>
        <w:rPr>
          <w:rFonts w:eastAsia="Segoe UI"/>
          <w:noProof/>
          <w:shd w:val="clear" w:color="auto" w:fill="FFFFFF"/>
        </w:rPr>
        <w:lastRenderedPageBreak/>
        <w:drawing>
          <wp:inline distT="0" distB="0" distL="114300" distR="114300" wp14:anchorId="1559D2D3" wp14:editId="500CE1E0">
            <wp:extent cx="3265467" cy="4781550"/>
            <wp:effectExtent l="0" t="0" r="0" b="0"/>
            <wp:docPr id="26" name="图片 26" descr="M0-260601-FIGS2-FBL返修6C补充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M0-260601-FIGS2-FBL返修6C补充_画板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66709" cy="478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73DB0" w14:textId="0A288114" w:rsidR="004459E3" w:rsidRDefault="00CF3412" w:rsidP="00CF3412">
      <w:pPr>
        <w:pStyle w:val="Figurecaption"/>
        <w:rPr>
          <w:rFonts w:eastAsia="Segoe UI"/>
          <w:shd w:val="clear" w:color="auto" w:fill="FFFFFF"/>
        </w:rPr>
      </w:pPr>
      <w:r w:rsidRPr="00DA40AC">
        <w:rPr>
          <w:rFonts w:eastAsia="Segoe UI"/>
          <w:b/>
          <w:bCs/>
          <w:shd w:val="clear" w:color="auto" w:fill="FFFFFF"/>
        </w:rPr>
        <w:t xml:space="preserve">Supplementary </w:t>
      </w:r>
      <w:r w:rsidR="00E96F92">
        <w:rPr>
          <w:rFonts w:eastAsia="Segoe UI"/>
          <w:b/>
          <w:bCs/>
          <w:shd w:val="clear" w:color="auto" w:fill="FFFFFF"/>
        </w:rPr>
        <w:t>Fig</w:t>
      </w:r>
      <w:r>
        <w:rPr>
          <w:rFonts w:eastAsia="Segoe UI"/>
          <w:b/>
          <w:bCs/>
          <w:shd w:val="clear" w:color="auto" w:fill="FFFFFF"/>
        </w:rPr>
        <w:t>.</w:t>
      </w:r>
      <w:r w:rsidR="001D000F">
        <w:rPr>
          <w:rFonts w:eastAsia="Segoe UI"/>
          <w:b/>
          <w:bCs/>
          <w:shd w:val="clear" w:color="auto" w:fill="FFFFFF"/>
        </w:rPr>
        <w:t xml:space="preserve"> </w:t>
      </w:r>
      <w:r w:rsidR="00E96F92">
        <w:rPr>
          <w:rFonts w:eastAsia="Segoe UI"/>
          <w:b/>
          <w:bCs/>
          <w:shd w:val="clear" w:color="auto" w:fill="FFFFFF"/>
        </w:rPr>
        <w:t>2. Flow cytometry analysis of CD90</w:t>
      </w:r>
      <w:r w:rsidR="00E96F92" w:rsidRPr="007A07A2">
        <w:rPr>
          <w:rFonts w:eastAsia="Segoe UI"/>
          <w:b/>
          <w:bCs/>
          <w:shd w:val="clear" w:color="auto" w:fill="FFFFFF"/>
          <w:vertAlign w:val="superscript"/>
        </w:rPr>
        <w:t>+</w:t>
      </w:r>
      <w:r w:rsidR="00E96F92">
        <w:rPr>
          <w:rFonts w:eastAsia="Segoe UI"/>
          <w:b/>
          <w:bCs/>
          <w:shd w:val="clear" w:color="auto" w:fill="FFFFFF"/>
        </w:rPr>
        <w:t xml:space="preserve"> cells in si-NC and si-DR5 EOC cells following TNFSF10 treatment.</w:t>
      </w:r>
      <w:r w:rsidR="007A07A2">
        <w:rPr>
          <w:rFonts w:eastAsia="Segoe UI"/>
          <w:b/>
          <w:bCs/>
          <w:shd w:val="clear" w:color="auto" w:fill="FFFFFF"/>
        </w:rPr>
        <w:t xml:space="preserve"> </w:t>
      </w:r>
      <w:r w:rsidR="007A07A2" w:rsidRPr="007A07A2">
        <w:rPr>
          <w:rFonts w:eastAsia="Segoe UI"/>
          <w:shd w:val="clear" w:color="auto" w:fill="FFFFFF"/>
        </w:rPr>
        <w:t>Flow cytometry plots show the proportion of CD90</w:t>
      </w:r>
      <w:r w:rsidR="007A07A2" w:rsidRPr="007A07A2">
        <w:rPr>
          <w:rFonts w:eastAsia="Segoe UI"/>
          <w:shd w:val="clear" w:color="auto" w:fill="FFFFFF"/>
          <w:vertAlign w:val="superscript"/>
        </w:rPr>
        <w:t>+</w:t>
      </w:r>
      <w:r w:rsidR="007A07A2" w:rsidRPr="007A07A2">
        <w:rPr>
          <w:rFonts w:eastAsia="Segoe UI"/>
          <w:shd w:val="clear" w:color="auto" w:fill="FFFFFF"/>
        </w:rPr>
        <w:t xml:space="preserve"> cells in A2780, HEY, and SKOV3 cell lines. Numbers indicate the percentage of positive cells.</w:t>
      </w:r>
    </w:p>
    <w:p w14:paraId="04D71327" w14:textId="4A067651" w:rsidR="00DA40AC" w:rsidRDefault="00DA40AC">
      <w:pPr>
        <w:spacing w:line="240" w:lineRule="auto"/>
        <w:jc w:val="left"/>
        <w:rPr>
          <w:rFonts w:ascii="Times New Roman" w:eastAsia="Segoe UI" w:hAnsi="Times New Roman"/>
          <w:noProof w:val="0"/>
          <w:sz w:val="21"/>
          <w:szCs w:val="21"/>
          <w:shd w:val="clear" w:color="auto" w:fill="FFFFFF"/>
          <w:lang w:eastAsia="de-DE" w:bidi="en-US"/>
        </w:rPr>
      </w:pPr>
      <w:r>
        <w:rPr>
          <w:rFonts w:eastAsia="Segoe UI"/>
          <w:shd w:val="clear" w:color="auto" w:fill="FFFFFF"/>
        </w:rPr>
        <w:br w:type="page"/>
      </w:r>
    </w:p>
    <w:p w14:paraId="74F5DAC5" w14:textId="58872191" w:rsidR="00DA40AC" w:rsidRDefault="00DA40AC" w:rsidP="00EA0C8E">
      <w:pPr>
        <w:pStyle w:val="Figure"/>
      </w:pPr>
      <w:bookmarkStart w:id="0" w:name="_GoBack"/>
      <w:r>
        <w:rPr>
          <w:noProof/>
        </w:rPr>
        <w:lastRenderedPageBreak/>
        <w:drawing>
          <wp:inline distT="0" distB="0" distL="0" distR="0" wp14:anchorId="204D00EC" wp14:editId="4B91045F">
            <wp:extent cx="5272405" cy="3590925"/>
            <wp:effectExtent l="0" t="0" r="444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0D9202A" w14:textId="1CF33A60" w:rsidR="00DA40AC" w:rsidRPr="001D000F" w:rsidRDefault="00DA40AC" w:rsidP="00DA40AC">
      <w:pPr>
        <w:rPr>
          <w:rFonts w:ascii="Times New Roman" w:eastAsia="Segoe UI" w:hAnsi="Times New Roman"/>
          <w:b/>
          <w:bCs/>
          <w:sz w:val="24"/>
          <w:shd w:val="clear" w:color="auto" w:fill="FFFFFF"/>
        </w:rPr>
      </w:pPr>
      <w:r w:rsidRPr="00DA40AC">
        <w:rPr>
          <w:rFonts w:ascii="Times New Roman" w:eastAsia="Segoe UI" w:hAnsi="Times New Roman"/>
          <w:b/>
          <w:bCs/>
          <w:sz w:val="21"/>
          <w:szCs w:val="21"/>
          <w:shd w:val="clear" w:color="auto" w:fill="FFFFFF"/>
        </w:rPr>
        <w:t xml:space="preserve">Supplementary </w:t>
      </w:r>
      <w:r>
        <w:rPr>
          <w:rFonts w:eastAsia="Segoe UI"/>
          <w:b/>
          <w:bCs/>
          <w:shd w:val="clear" w:color="auto" w:fill="FFFFFF"/>
        </w:rPr>
        <w:t>Fig.</w:t>
      </w:r>
      <w:r w:rsidR="001D000F">
        <w:rPr>
          <w:rFonts w:eastAsia="Segoe UI"/>
          <w:b/>
          <w:bCs/>
          <w:shd w:val="clear" w:color="auto" w:fill="FFFFFF"/>
        </w:rPr>
        <w:t xml:space="preserve"> </w:t>
      </w:r>
      <w:r>
        <w:rPr>
          <w:rFonts w:eastAsia="Segoe UI"/>
          <w:b/>
          <w:bCs/>
          <w:shd w:val="clear" w:color="auto" w:fill="FFFFFF"/>
        </w:rPr>
        <w:t>3.</w:t>
      </w:r>
      <w:r w:rsidRPr="00A10F3B">
        <w:rPr>
          <w:rFonts w:ascii="Times New Roman" w:eastAsia="Segoe UI" w:hAnsi="Times New Roman"/>
          <w:b/>
          <w:bCs/>
          <w:sz w:val="24"/>
          <w:szCs w:val="24"/>
          <w:shd w:val="clear" w:color="auto" w:fill="FFFFFF"/>
        </w:rPr>
        <w:t xml:space="preserve"> </w:t>
      </w:r>
      <w:r w:rsidRPr="00A10F3B">
        <w:rPr>
          <w:rFonts w:ascii="Times New Roman" w:hAnsi="Times New Roman"/>
          <w:b/>
          <w:bCs/>
          <w:sz w:val="24"/>
        </w:rPr>
        <w:t>Gating strategies for flow cytometry analysis.</w:t>
      </w:r>
      <w:r w:rsidR="001D000F">
        <w:rPr>
          <w:rFonts w:ascii="Times New Roman" w:hAnsi="Times New Roman"/>
          <w:b/>
          <w:bCs/>
          <w:sz w:val="24"/>
        </w:rPr>
        <w:t xml:space="preserve"> </w:t>
      </w:r>
      <w:r w:rsidRPr="005654BA">
        <w:rPr>
          <w:rFonts w:ascii="Times New Roman" w:hAnsi="Times New Roman"/>
          <w:sz w:val="24"/>
        </w:rPr>
        <w:t>(A) Gating strategy for the evaluation of macrophage polarization markers (CD86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and CD206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>), corresponding to the results shown in Fig</w:t>
      </w:r>
      <w:r>
        <w:rPr>
          <w:rFonts w:ascii="Times New Roman" w:hAnsi="Times New Roman"/>
          <w:sz w:val="24"/>
        </w:rPr>
        <w:t>.</w:t>
      </w:r>
      <w:r w:rsidRPr="005654B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5</w:t>
      </w:r>
      <w:r>
        <w:rPr>
          <w:rFonts w:ascii="Times New Roman" w:hAnsi="Times New Roman" w:hint="eastAsia"/>
          <w:sz w:val="24"/>
        </w:rPr>
        <w:t>B</w:t>
      </w:r>
      <w:r w:rsidRPr="005654BA">
        <w:rPr>
          <w:rFonts w:ascii="Times New Roman" w:hAnsi="Times New Roman"/>
          <w:sz w:val="24"/>
        </w:rPr>
        <w:t>. Total cells were initially gated based on forward scatter (FSC-A) and side scatter (SSC-A) to exclude cellular debris, followed by doublet exclusion using FSC-A versus FSC-H. The single-cell population was then analyzed for CD86 and CD206 expression via histograms.</w:t>
      </w:r>
      <w:r w:rsidR="001D000F">
        <w:rPr>
          <w:rFonts w:ascii="Times New Roman" w:eastAsiaTheme="minorEastAsia" w:hAnsi="Times New Roman" w:hint="eastAsia"/>
          <w:b/>
          <w:bCs/>
          <w:sz w:val="24"/>
          <w:shd w:val="clear" w:color="auto" w:fill="FFFFFF"/>
        </w:rPr>
        <w:t xml:space="preserve"> </w:t>
      </w:r>
      <w:r w:rsidRPr="005654BA">
        <w:rPr>
          <w:rFonts w:ascii="Times New Roman" w:hAnsi="Times New Roman"/>
          <w:sz w:val="24"/>
        </w:rPr>
        <w:t>(B) Gating strategy for the evaluation of the CD44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stemness marker in epithelial ovarian cancer cell lines (A2780, HEY, and SKOV3), corresponding to the results presented in Fig</w:t>
      </w:r>
      <w:r>
        <w:rPr>
          <w:rFonts w:ascii="Times New Roman" w:hAnsi="Times New Roman"/>
          <w:sz w:val="24"/>
        </w:rPr>
        <w:t>.</w:t>
      </w:r>
      <w:r w:rsidRPr="005654B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5</w:t>
      </w:r>
      <w:r>
        <w:rPr>
          <w:rFonts w:ascii="Times New Roman" w:hAnsi="Times New Roman" w:hint="eastAsia"/>
          <w:sz w:val="24"/>
        </w:rPr>
        <w:t>F</w:t>
      </w:r>
      <w:r w:rsidRPr="005654BA">
        <w:rPr>
          <w:rFonts w:ascii="Times New Roman" w:hAnsi="Times New Roman"/>
          <w:sz w:val="24"/>
        </w:rPr>
        <w:t>. The initial gating selected the main cell population (FSC-A/SSC-A), followed by doublet exclusion (FSC-A/FSC-H). Single cells were then analyzed for the CD44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population.</w:t>
      </w:r>
      <w:r w:rsidR="001D000F">
        <w:rPr>
          <w:rFonts w:ascii="Times New Roman" w:eastAsiaTheme="minorEastAsia" w:hAnsi="Times New Roman" w:hint="eastAsia"/>
          <w:b/>
          <w:bCs/>
          <w:sz w:val="24"/>
          <w:shd w:val="clear" w:color="auto" w:fill="FFFFFF"/>
        </w:rPr>
        <w:t xml:space="preserve"> </w:t>
      </w:r>
      <w:r w:rsidRPr="005654BA">
        <w:rPr>
          <w:rFonts w:ascii="Times New Roman" w:hAnsi="Times New Roman"/>
          <w:sz w:val="24"/>
        </w:rPr>
        <w:t>(C) Gating strategy for the evaluation of the CD44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stemness marker in epithelial ovarian cancer cell lines (A2780, HEY, and SKOV3), corresponding to the results shown in Fig</w:t>
      </w:r>
      <w:r>
        <w:rPr>
          <w:rFonts w:ascii="Times New Roman" w:hAnsi="Times New Roman"/>
          <w:sz w:val="24"/>
        </w:rPr>
        <w:t>.</w:t>
      </w:r>
      <w:r w:rsidRPr="005654B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6C</w:t>
      </w:r>
      <w:r w:rsidRPr="005654BA">
        <w:rPr>
          <w:rFonts w:ascii="Times New Roman" w:hAnsi="Times New Roman"/>
          <w:sz w:val="24"/>
        </w:rPr>
        <w:t>. Following the main cell population gating (FSC-A/SSC-A) and doublet exclusion (FSC-A/FSC-H), dead cells were excluded using a live/dead viability dye. The resulting live cell population was analyzed for CD44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expression.</w:t>
      </w:r>
      <w:r w:rsidR="001D000F">
        <w:rPr>
          <w:rFonts w:ascii="Times New Roman" w:eastAsiaTheme="minorEastAsia" w:hAnsi="Times New Roman" w:hint="eastAsia"/>
          <w:b/>
          <w:bCs/>
          <w:sz w:val="24"/>
          <w:shd w:val="clear" w:color="auto" w:fill="FFFFFF"/>
        </w:rPr>
        <w:t xml:space="preserve"> </w:t>
      </w:r>
      <w:r w:rsidRPr="005654BA">
        <w:rPr>
          <w:rFonts w:ascii="Times New Roman" w:hAnsi="Times New Roman"/>
          <w:sz w:val="24"/>
        </w:rPr>
        <w:t>(D) Gating strategy for the evaluation of the CD90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stemness marker in epithelial ovarian cancer cell lines (A2780, HEY, and SKOV3), corresponding to the results presented in </w:t>
      </w:r>
      <w:r w:rsidRPr="00DA40AC">
        <w:rPr>
          <w:rFonts w:ascii="Times New Roman" w:hAnsi="Times New Roman"/>
          <w:sz w:val="24"/>
        </w:rPr>
        <w:t>Supplementary Fig.</w:t>
      </w:r>
      <w:r>
        <w:rPr>
          <w:rFonts w:ascii="Times New Roman" w:hAnsi="Times New Roman"/>
          <w:sz w:val="24"/>
        </w:rPr>
        <w:t xml:space="preserve"> </w:t>
      </w:r>
      <w:r w:rsidRPr="00DA40AC">
        <w:rPr>
          <w:rFonts w:ascii="Times New Roman" w:hAnsi="Times New Roman"/>
          <w:sz w:val="24"/>
        </w:rPr>
        <w:t>2</w:t>
      </w:r>
      <w:r w:rsidRPr="005654BA">
        <w:rPr>
          <w:rFonts w:ascii="Times New Roman" w:hAnsi="Times New Roman"/>
          <w:sz w:val="24"/>
        </w:rPr>
        <w:t>. Following main cell population selection and doublet exclusion, live single cells were identified using a live/dead viability dye and subsequently analyzed for CD90</w:t>
      </w:r>
      <w:r w:rsidRPr="00167FF5">
        <w:rPr>
          <w:rFonts w:ascii="Times New Roman" w:hAnsi="Times New Roman"/>
          <w:sz w:val="24"/>
          <w:vertAlign w:val="superscript"/>
        </w:rPr>
        <w:t>+</w:t>
      </w:r>
      <w:r w:rsidRPr="005654BA">
        <w:rPr>
          <w:rFonts w:ascii="Times New Roman" w:hAnsi="Times New Roman"/>
          <w:sz w:val="24"/>
        </w:rPr>
        <w:t xml:space="preserve"> expression.</w:t>
      </w:r>
    </w:p>
    <w:p w14:paraId="531F9C14" w14:textId="77777777" w:rsidR="00DA40AC" w:rsidRPr="00DA40AC" w:rsidRDefault="00DA40AC" w:rsidP="00CF3412">
      <w:pPr>
        <w:pStyle w:val="Figurecaption"/>
        <w:rPr>
          <w:rFonts w:ascii="宋体" w:hAnsi="宋体" w:cs="宋体"/>
          <w:color w:val="auto"/>
          <w:sz w:val="24"/>
          <w:szCs w:val="24"/>
        </w:rPr>
      </w:pPr>
    </w:p>
    <w:sectPr w:rsidR="00DA40AC" w:rsidRPr="00DA40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68B8A7" w14:textId="77777777" w:rsidR="007E7009" w:rsidRDefault="007E7009" w:rsidP="007A07A2">
      <w:r>
        <w:separator/>
      </w:r>
    </w:p>
  </w:endnote>
  <w:endnote w:type="continuationSeparator" w:id="0">
    <w:p w14:paraId="16BA1363" w14:textId="77777777" w:rsidR="007E7009" w:rsidRDefault="007E7009" w:rsidP="007A07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ns-serif">
    <w:altName w:val="Segoe Print"/>
    <w:charset w:val="00"/>
    <w:family w:val="auto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6D101B" w14:textId="77777777" w:rsidR="007E7009" w:rsidRDefault="007E7009" w:rsidP="007A07A2">
      <w:r>
        <w:separator/>
      </w:r>
    </w:p>
  </w:footnote>
  <w:footnote w:type="continuationSeparator" w:id="0">
    <w:p w14:paraId="68C3F275" w14:textId="77777777" w:rsidR="007E7009" w:rsidRDefault="007E7009" w:rsidP="007A07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B0E3986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 w15:restartNumberingAfterBreak="0">
    <w:nsid w:val="FFFFFF7D"/>
    <w:multiLevelType w:val="singleLevel"/>
    <w:tmpl w:val="602ABB08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 w15:restartNumberingAfterBreak="0">
    <w:nsid w:val="FFFFFF7E"/>
    <w:multiLevelType w:val="singleLevel"/>
    <w:tmpl w:val="5370878A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 w15:restartNumberingAfterBreak="0">
    <w:nsid w:val="FFFFFF7F"/>
    <w:multiLevelType w:val="singleLevel"/>
    <w:tmpl w:val="3B3CF8F4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 w15:restartNumberingAfterBreak="0">
    <w:nsid w:val="FFFFFF80"/>
    <w:multiLevelType w:val="singleLevel"/>
    <w:tmpl w:val="B428D06E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13AE5906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8FA05D06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AE186FFC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26E481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89"/>
    <w:multiLevelType w:val="singleLevel"/>
    <w:tmpl w:val="400C804E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59E3"/>
    <w:rsid w:val="001D000F"/>
    <w:rsid w:val="0033390E"/>
    <w:rsid w:val="004459E3"/>
    <w:rsid w:val="007A07A2"/>
    <w:rsid w:val="007E7009"/>
    <w:rsid w:val="00CB4F31"/>
    <w:rsid w:val="00CF3412"/>
    <w:rsid w:val="00D12A05"/>
    <w:rsid w:val="00DA40AC"/>
    <w:rsid w:val="00DD46AA"/>
    <w:rsid w:val="00E9405E"/>
    <w:rsid w:val="00E96F92"/>
    <w:rsid w:val="00EA0C8E"/>
    <w:rsid w:val="09572537"/>
    <w:rsid w:val="0CFD33F5"/>
    <w:rsid w:val="13750189"/>
    <w:rsid w:val="15B7515C"/>
    <w:rsid w:val="1ACB68E1"/>
    <w:rsid w:val="1DFF1124"/>
    <w:rsid w:val="1E48649A"/>
    <w:rsid w:val="1F120F82"/>
    <w:rsid w:val="2096173F"/>
    <w:rsid w:val="211D736D"/>
    <w:rsid w:val="27BD3A55"/>
    <w:rsid w:val="35481956"/>
    <w:rsid w:val="3B2A71FC"/>
    <w:rsid w:val="46565349"/>
    <w:rsid w:val="4F451EFA"/>
    <w:rsid w:val="534C5B09"/>
    <w:rsid w:val="5B7B51DE"/>
    <w:rsid w:val="63EE6769"/>
    <w:rsid w:val="73322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E67C72A"/>
  <w15:docId w15:val="{EC0F9C05-B982-4964-9AB4-658F980F2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11" w:qFormat="1"/>
    <w:lsdException w:name="heading 2" w:semiHidden="1" w:uiPriority="11" w:unhideWhenUsed="1" w:qFormat="1"/>
    <w:lsdException w:name="heading 3" w:semiHidden="1" w:uiPriority="1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semiHidden="1"/>
    <w:lsdException w:name="annotation text" w:uiPriority="20" w:qFormat="1"/>
    <w:lsdException w:name="header" w:uiPriority="99"/>
    <w:lsdException w:name="footer" w:uiPriority="99"/>
    <w:lsdException w:name="caption" w:semiHidden="1" w:unhideWhenUsed="1" w:qFormat="1"/>
    <w:lsdException w:name="line number" w:uiPriority="99"/>
    <w:lsdException w:name="Title" w:qFormat="1"/>
    <w:lsdException w:name="Default Paragraph Font" w:semiHidden="1" w:uiPriority="1" w:qFormat="1"/>
    <w:lsdException w:name="Body Text" w:semiHidden="1"/>
    <w:lsdException w:name="Body Text Indent" w:semiHidden="1"/>
    <w:lsdException w:name="Subtitle" w:qFormat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Variable" w:semiHidden="1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rsid w:val="0033390E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1">
    <w:name w:val="heading 1"/>
    <w:aliases w:val="Heading level 1"/>
    <w:basedOn w:val="a"/>
    <w:next w:val="a"/>
    <w:link w:val="10"/>
    <w:uiPriority w:val="11"/>
    <w:qFormat/>
    <w:rsid w:val="0033390E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11"/>
    <w:qFormat/>
    <w:rsid w:val="0033390E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11"/>
    <w:qFormat/>
    <w:rsid w:val="0033390E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339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4">
    <w:name w:val="页眉 字符"/>
    <w:link w:val="a3"/>
    <w:uiPriority w:val="99"/>
    <w:rsid w:val="0033390E"/>
    <w:rPr>
      <w:rFonts w:ascii="Palatino Linotype" w:hAnsi="Palatino Linotype"/>
      <w:noProof/>
      <w:color w:val="000000"/>
      <w:szCs w:val="18"/>
    </w:rPr>
  </w:style>
  <w:style w:type="paragraph" w:styleId="a5">
    <w:name w:val="footer"/>
    <w:basedOn w:val="a"/>
    <w:link w:val="a6"/>
    <w:uiPriority w:val="99"/>
    <w:rsid w:val="0033390E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6">
    <w:name w:val="页脚 字符"/>
    <w:link w:val="a5"/>
    <w:uiPriority w:val="99"/>
    <w:rsid w:val="0033390E"/>
    <w:rPr>
      <w:rFonts w:ascii="Palatino Linotype" w:hAnsi="Palatino Linotype"/>
      <w:noProof/>
      <w:color w:val="000000"/>
      <w:szCs w:val="18"/>
    </w:rPr>
  </w:style>
  <w:style w:type="paragraph" w:customStyle="1" w:styleId="Abstract">
    <w:name w:val="Abstract"/>
    <w:next w:val="a"/>
    <w:uiPriority w:val="9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6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33390E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33390E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33390E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33390E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2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33390E"/>
    <w:rPr>
      <w:rFonts w:eastAsia="Times New Roman"/>
      <w:snapToGrid w:val="0"/>
      <w:color w:val="000000"/>
      <w:sz w:val="21"/>
      <w:szCs w:val="22"/>
      <w:lang w:eastAsia="de-DE" w:bidi="en-US"/>
    </w:rPr>
  </w:style>
  <w:style w:type="paragraph" w:customStyle="1" w:styleId="E-mail">
    <w:name w:val="E-mail"/>
    <w:link w:val="E-mail0"/>
    <w:uiPriority w:val="5"/>
    <w:qFormat/>
    <w:rsid w:val="0033390E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5"/>
    <w:rsid w:val="0033390E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33390E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6"/>
    <w:qFormat/>
    <w:rsid w:val="0033390E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6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rontmatter">
    <w:name w:val="Front matter"/>
    <w:uiPriority w:val="8"/>
    <w:qFormat/>
    <w:rsid w:val="0033390E"/>
    <w:pPr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2"/>
      <w:lang w:eastAsia="de-DE" w:bidi="en-US"/>
    </w:rPr>
  </w:style>
  <w:style w:type="paragraph" w:customStyle="1" w:styleId="Historytime">
    <w:name w:val="History time"/>
    <w:next w:val="Articletype"/>
    <w:uiPriority w:val="7"/>
    <w:qFormat/>
    <w:rsid w:val="0033390E"/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10"/>
    <w:qFormat/>
    <w:rsid w:val="0033390E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10"/>
    <w:rsid w:val="0033390E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33390E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33390E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3"/>
    <w:qFormat/>
    <w:rsid w:val="0033390E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4"/>
    <w:qFormat/>
    <w:rsid w:val="0033390E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5"/>
    <w:qFormat/>
    <w:rsid w:val="0033390E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2"/>
    <w:qFormat/>
    <w:rsid w:val="0033390E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2"/>
    <w:rsid w:val="0033390E"/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11"/>
    <w:rsid w:val="0033390E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11"/>
    <w:rsid w:val="0033390E"/>
    <w:rPr>
      <w:rFonts w:eastAsia="Times New Roman"/>
      <w:b/>
      <w:bCs/>
      <w:i/>
      <w:noProof/>
      <w:color w:val="00000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11"/>
    <w:rsid w:val="0033390E"/>
    <w:rPr>
      <w:rFonts w:eastAsia="Times New Roman"/>
      <w:bCs/>
      <w:i/>
      <w:noProof/>
      <w:color w:val="000000"/>
      <w:sz w:val="21"/>
      <w:szCs w:val="21"/>
    </w:rPr>
  </w:style>
  <w:style w:type="paragraph" w:styleId="a7">
    <w:name w:val="annotation text"/>
    <w:aliases w:val="Comment Text"/>
    <w:basedOn w:val="a"/>
    <w:link w:val="a8"/>
    <w:uiPriority w:val="20"/>
    <w:qFormat/>
    <w:rsid w:val="0033390E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noProof w:val="0"/>
      <w:color w:val="auto"/>
      <w:sz w:val="21"/>
      <w:szCs w:val="21"/>
      <w:lang w:eastAsia="es-ES"/>
    </w:rPr>
  </w:style>
  <w:style w:type="character" w:customStyle="1" w:styleId="a8">
    <w:name w:val="批注文字 字符"/>
    <w:aliases w:val="Comment Text 字符"/>
    <w:basedOn w:val="a0"/>
    <w:link w:val="a7"/>
    <w:uiPriority w:val="20"/>
    <w:qFormat/>
    <w:rsid w:val="0033390E"/>
    <w:rPr>
      <w:rFonts w:eastAsia="Times New Roman"/>
      <w:sz w:val="21"/>
      <w:szCs w:val="21"/>
      <w:lang w:eastAsia="es-ES"/>
    </w:rPr>
  </w:style>
  <w:style w:type="paragraph" w:styleId="a9">
    <w:name w:val="Normal (Web)"/>
    <w:basedOn w:val="a"/>
    <w:uiPriority w:val="99"/>
    <w:rsid w:val="0033390E"/>
    <w:rPr>
      <w:szCs w:val="24"/>
    </w:rPr>
  </w:style>
  <w:style w:type="table" w:styleId="aa">
    <w:name w:val="Table Grid"/>
    <w:basedOn w:val="a1"/>
    <w:uiPriority w:val="59"/>
    <w:rsid w:val="0033390E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endnote text"/>
    <w:basedOn w:val="a"/>
    <w:link w:val="ac"/>
    <w:unhideWhenUsed/>
    <w:rsid w:val="0033390E"/>
    <w:pPr>
      <w:spacing w:line="240" w:lineRule="auto"/>
    </w:pPr>
  </w:style>
  <w:style w:type="character" w:customStyle="1" w:styleId="ac">
    <w:name w:val="尾注文本 字符"/>
    <w:link w:val="ab"/>
    <w:rsid w:val="0033390E"/>
    <w:rPr>
      <w:rFonts w:ascii="Palatino Linotype" w:hAnsi="Palatino Linotype"/>
      <w:noProof/>
      <w:color w:val="000000"/>
    </w:rPr>
  </w:style>
  <w:style w:type="table" w:styleId="4">
    <w:name w:val="Plain Table 4"/>
    <w:basedOn w:val="a1"/>
    <w:uiPriority w:val="44"/>
    <w:rsid w:val="0033390E"/>
    <w:rPr>
      <w:rFonts w:ascii="Calibri" w:hAnsi="Calibr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d">
    <w:name w:val="line number"/>
    <w:basedOn w:val="a0"/>
    <w:uiPriority w:val="99"/>
    <w:unhideWhenUsed/>
    <w:rsid w:val="0033390E"/>
  </w:style>
  <w:style w:type="character" w:styleId="ae">
    <w:name w:val="Placeholder Text"/>
    <w:uiPriority w:val="99"/>
    <w:semiHidden/>
    <w:rsid w:val="0033390E"/>
    <w:rPr>
      <w:color w:val="808080"/>
    </w:rPr>
  </w:style>
  <w:style w:type="character" w:styleId="af">
    <w:name w:val="Strong"/>
    <w:basedOn w:val="a0"/>
    <w:uiPriority w:val="22"/>
    <w:qFormat/>
    <w:rsid w:val="00CF341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677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310</Words>
  <Characters>1770</Characters>
  <Application>Microsoft Office Word</Application>
  <DocSecurity>0</DocSecurity>
  <Lines>14</Lines>
  <Paragraphs>4</Paragraphs>
  <ScaleCrop>false</ScaleCrop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8</cp:revision>
  <dcterms:created xsi:type="dcterms:W3CDTF">2026-07-13T09:30:00Z</dcterms:created>
  <dcterms:modified xsi:type="dcterms:W3CDTF">2026-07-23T00:36:00Z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eyJoZGlkIjoiNjdmYTRkNjk0MmZjZWM0YWU1OThiZTg3NzNlNGFiYjMiLCJ1c2VySWQiOiIzNDUwNjc0NjIifQ==</vt:lpwstr>
  </property>
  <property fmtid="{D5CDD505-2E9C-101B-9397-08002B2CF9AE}" pid="4" name="ICV">
    <vt:lpwstr>CC20042B1BCF41BFBF75AB1095D46002_12</vt:lpwstr>
  </property>
  <property fmtid="{D5CDD505-2E9C-101B-9397-08002B2CF9AE}" pid="5" name="GrammarlyDocumentId">
    <vt:lpwstr>a3b1e4d9-f352-482f-b62b-9e96438d99b7</vt:lpwstr>
  </property>
</Properties>
</file>